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64" w:rsidRPr="00C43732" w:rsidRDefault="008C5064" w:rsidP="008C5064">
      <w:pPr>
        <w:pStyle w:val="Heading2"/>
      </w:pPr>
      <w:bookmarkStart w:id="0" w:name="_Toc491950707"/>
      <w:bookmarkStart w:id="1" w:name="_Toc496518850"/>
      <w:bookmarkStart w:id="2" w:name="_Toc496521233"/>
      <w:r w:rsidRPr="00C43732">
        <w:t>4.4 Lesson Plans</w:t>
      </w:r>
      <w:bookmarkEnd w:id="0"/>
      <w:bookmarkEnd w:id="1"/>
      <w:bookmarkEnd w:id="2"/>
      <w:r w:rsidRPr="00C43732">
        <w:t xml:space="preserve"> </w:t>
      </w:r>
    </w:p>
    <w:p w:rsidR="008C5064" w:rsidRPr="00C43732" w:rsidRDefault="008C5064" w:rsidP="008C5064">
      <w:pPr>
        <w:spacing w:after="0" w:line="240" w:lineRule="auto"/>
        <w:rPr>
          <w:rFonts w:eastAsia="Arial" w:cs="Arial"/>
          <w:color w:val="1F4E79"/>
        </w:rPr>
      </w:pPr>
    </w:p>
    <w:p w:rsidR="008C5064" w:rsidRPr="00C43732" w:rsidRDefault="008C5064" w:rsidP="008C5064">
      <w:r w:rsidRPr="00C43732">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most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8C5064" w:rsidRPr="00C43732" w:rsidRDefault="008C5064" w:rsidP="008C5064">
      <w:pPr>
        <w:rPr>
          <w:rFonts w:eastAsia="Arial" w:cs="Arial"/>
        </w:rPr>
      </w:pPr>
      <w:r w:rsidRPr="00C43732">
        <w:rPr>
          <w:rFonts w:eastAsia="Arial" w:cs="Arial"/>
        </w:rPr>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C43732">
        <w:rPr>
          <w:rStyle w:val="FootnoteReference"/>
          <w:rFonts w:eastAsia="Arial" w:cs="Arial"/>
        </w:rPr>
        <w:footnoteReference w:id="1"/>
      </w:r>
    </w:p>
    <w:p w:rsidR="008C5064" w:rsidRPr="00C43732" w:rsidRDefault="008C5064" w:rsidP="008C5064">
      <w:pPr>
        <w:rPr>
          <w:rFonts w:cs="Arial"/>
        </w:rPr>
      </w:pPr>
      <w:r w:rsidRPr="00C43732">
        <w:rPr>
          <w:rFonts w:cs="Arial"/>
        </w:rPr>
        <w:t xml:space="preserve">The </w:t>
      </w:r>
      <w:r w:rsidR="00C43732">
        <w:rPr>
          <w:rFonts w:cs="Arial"/>
        </w:rPr>
        <w:t>lesson plans are</w:t>
      </w:r>
      <w:r w:rsidRPr="00C43732">
        <w:rPr>
          <w:rFonts w:cs="Arial"/>
        </w:rPr>
        <w:t xml:space="preserve"> based on the following curriculums: </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The Arts, 2010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Canadian and World Studies, 2013,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English,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Guidance and Career Education, 2006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9-12: Health and Physical Education, 2015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Mathematics, 2005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11 and 12: Mathematics,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to 12: Social Sciences and Humanities (revised, 2013)</w:t>
      </w:r>
    </w:p>
    <w:p w:rsidR="008C5064" w:rsidRPr="00C43732" w:rsidRDefault="008C5064" w:rsidP="008C5064">
      <w:pPr>
        <w:rPr>
          <w:rStyle w:val="Hyperlink"/>
          <w:rFonts w:cs="Arial"/>
        </w:rPr>
      </w:pPr>
      <w:r w:rsidRPr="00C43732">
        <w:rPr>
          <w:rFonts w:cs="Arial"/>
        </w:rPr>
        <w:t xml:space="preserve">The full Ontario secondary curriculum can be accessed by subject and grade at, </w:t>
      </w:r>
      <w:hyperlink r:id="rId8" w:history="1">
        <w:r w:rsidRPr="00C43732">
          <w:rPr>
            <w:rStyle w:val="Hyperlink"/>
            <w:rFonts w:cs="Arial"/>
          </w:rPr>
          <w:t>http://www.edu.gov.on.ca/eng/curriculum/secondary/subjects.html</w:t>
        </w:r>
      </w:hyperlink>
      <w:r w:rsidRPr="00C43732">
        <w:rPr>
          <w:rStyle w:val="Hyperlink"/>
          <w:rFonts w:cs="Arial"/>
        </w:rPr>
        <w:t>.</w:t>
      </w:r>
    </w:p>
    <w:p w:rsidR="006922A9" w:rsidRPr="00C43732" w:rsidRDefault="006922A9" w:rsidP="008C5064"/>
    <w:sdt>
      <w:sdtPr>
        <w:rPr>
          <w:rFonts w:ascii="Arial" w:eastAsiaTheme="minorHAnsi" w:hAnsi="Arial" w:cstheme="minorBidi"/>
          <w:color w:val="auto"/>
          <w:sz w:val="22"/>
          <w:szCs w:val="22"/>
          <w:lang w:val="en-CA"/>
        </w:rPr>
        <w:id w:val="-1762755933"/>
        <w:docPartObj>
          <w:docPartGallery w:val="Table of Contents"/>
          <w:docPartUnique/>
        </w:docPartObj>
      </w:sdtPr>
      <w:sdtEndPr>
        <w:rPr>
          <w:b/>
          <w:bCs/>
          <w:noProof/>
        </w:rPr>
      </w:sdtEndPr>
      <w:sdtContent>
        <w:p w:rsidR="00C43732" w:rsidRDefault="00C43732">
          <w:pPr>
            <w:pStyle w:val="TOCHeading"/>
          </w:pPr>
          <w:r>
            <w:t>Contents</w:t>
          </w:r>
        </w:p>
        <w:bookmarkStart w:id="3" w:name="_GoBack"/>
        <w:bookmarkEnd w:id="3"/>
        <w:p w:rsidR="00894569" w:rsidRDefault="00C43732">
          <w:pPr>
            <w:pStyle w:val="TOC2"/>
            <w:tabs>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496521233" w:history="1"/>
        </w:p>
        <w:p w:rsidR="00894569" w:rsidRDefault="00894569">
          <w:pPr>
            <w:pStyle w:val="TOC1"/>
            <w:tabs>
              <w:tab w:val="right" w:leader="dot" w:pos="9350"/>
            </w:tabs>
            <w:rPr>
              <w:rFonts w:asciiTheme="minorHAnsi" w:eastAsiaTheme="minorEastAsia" w:hAnsiTheme="minorHAnsi"/>
              <w:noProof/>
              <w:lang w:eastAsia="en-CA"/>
            </w:rPr>
          </w:pPr>
          <w:r w:rsidRPr="0094425E">
            <w:rPr>
              <w:rStyle w:val="Hyperlink"/>
              <w:noProof/>
            </w:rPr>
            <w:fldChar w:fldCharType="begin"/>
          </w:r>
          <w:r w:rsidRPr="0094425E">
            <w:rPr>
              <w:rStyle w:val="Hyperlink"/>
              <w:noProof/>
            </w:rPr>
            <w:instrText xml:space="preserve"> </w:instrText>
          </w:r>
          <w:r>
            <w:rPr>
              <w:noProof/>
            </w:rPr>
            <w:instrText>HYPERLINK \l "_Toc496521234"</w:instrText>
          </w:r>
          <w:r w:rsidRPr="0094425E">
            <w:rPr>
              <w:rStyle w:val="Hyperlink"/>
              <w:noProof/>
            </w:rPr>
            <w:instrText xml:space="preserve"> </w:instrText>
          </w:r>
          <w:r w:rsidRPr="0094425E">
            <w:rPr>
              <w:rStyle w:val="Hyperlink"/>
              <w:noProof/>
            </w:rPr>
          </w:r>
          <w:r w:rsidRPr="0094425E">
            <w:rPr>
              <w:rStyle w:val="Hyperlink"/>
              <w:noProof/>
            </w:rPr>
            <w:fldChar w:fldCharType="separate"/>
          </w:r>
          <w:r w:rsidRPr="0094425E">
            <w:rPr>
              <w:rStyle w:val="Hyperlink"/>
              <w:noProof/>
            </w:rPr>
            <w:t>F. Sexual Violence and Harassment as a Human Rights Violation (Canadian and World Studies, Grade 10)</w:t>
          </w:r>
          <w:r>
            <w:rPr>
              <w:noProof/>
              <w:webHidden/>
            </w:rPr>
            <w:tab/>
          </w:r>
          <w:r>
            <w:rPr>
              <w:noProof/>
              <w:webHidden/>
            </w:rPr>
            <w:fldChar w:fldCharType="begin"/>
          </w:r>
          <w:r>
            <w:rPr>
              <w:noProof/>
              <w:webHidden/>
            </w:rPr>
            <w:instrText xml:space="preserve"> PAGEREF _Toc496521234 \h </w:instrText>
          </w:r>
          <w:r>
            <w:rPr>
              <w:noProof/>
              <w:webHidden/>
            </w:rPr>
          </w:r>
          <w:r>
            <w:rPr>
              <w:noProof/>
              <w:webHidden/>
            </w:rPr>
            <w:fldChar w:fldCharType="separate"/>
          </w:r>
          <w:r>
            <w:rPr>
              <w:noProof/>
              <w:webHidden/>
            </w:rPr>
            <w:t>2</w:t>
          </w:r>
          <w:r>
            <w:rPr>
              <w:noProof/>
              <w:webHidden/>
            </w:rPr>
            <w:fldChar w:fldCharType="end"/>
          </w:r>
          <w:r w:rsidRPr="0094425E">
            <w:rPr>
              <w:rStyle w:val="Hyperlink"/>
              <w:noProof/>
            </w:rPr>
            <w:fldChar w:fldCharType="end"/>
          </w:r>
        </w:p>
        <w:p w:rsidR="00C43732" w:rsidRDefault="00C43732">
          <w:r>
            <w:rPr>
              <w:b/>
              <w:bCs/>
              <w:noProof/>
            </w:rPr>
            <w:fldChar w:fldCharType="end"/>
          </w:r>
        </w:p>
      </w:sdtContent>
    </w:sdt>
    <w:p w:rsidR="008C5064" w:rsidRPr="00C43732" w:rsidRDefault="008C5064" w:rsidP="008C5064"/>
    <w:p w:rsidR="00D23228" w:rsidRDefault="008C5064" w:rsidP="00D23228">
      <w:pPr>
        <w:pStyle w:val="Heading1"/>
      </w:pPr>
      <w:r w:rsidRPr="00C43732">
        <w:br w:type="page"/>
      </w:r>
      <w:bookmarkStart w:id="4" w:name="_Toc492473123"/>
      <w:bookmarkStart w:id="5" w:name="_Toc496521234"/>
      <w:r w:rsidR="00D23228">
        <w:lastRenderedPageBreak/>
        <w:t xml:space="preserve">F. </w:t>
      </w:r>
      <w:r w:rsidR="00D23228" w:rsidRPr="00FD1CEF">
        <w:t xml:space="preserve">Sexual Violence </w:t>
      </w:r>
      <w:r w:rsidR="00D23228">
        <w:t>and</w:t>
      </w:r>
      <w:r w:rsidR="00D23228" w:rsidRPr="00FD1CEF">
        <w:t xml:space="preserve"> Harassment as a Human Rights Violation</w:t>
      </w:r>
      <w:r w:rsidR="00D23228">
        <w:t xml:space="preserve"> (Canadian and World Studies, Grade 10)</w:t>
      </w:r>
      <w:bookmarkEnd w:id="4"/>
      <w:bookmarkEnd w:id="5"/>
    </w:p>
    <w:p w:rsidR="00D23228" w:rsidRDefault="00D23228" w:rsidP="00D23228">
      <w:pPr>
        <w:spacing w:after="0" w:line="240" w:lineRule="auto"/>
        <w:rPr>
          <w:rFonts w:eastAsia="MS Mincho" w:cs="Arial"/>
          <w:i/>
        </w:rPr>
      </w:pPr>
    </w:p>
    <w:p w:rsidR="00D23228" w:rsidRPr="00E1122F" w:rsidRDefault="00D23228" w:rsidP="00D23228">
      <w:pPr>
        <w:spacing w:after="0" w:line="240" w:lineRule="auto"/>
        <w:rPr>
          <w:rFonts w:eastAsia="MS Mincho" w:cs="Arial"/>
          <w:i/>
        </w:rPr>
      </w:pPr>
      <w:r w:rsidRPr="00E1122F">
        <w:rPr>
          <w:rFonts w:eastAsia="MS Mincho" w:cs="Arial"/>
          <w:i/>
        </w:rPr>
        <w:t>Draw the Line cards/posters, as selected by the teacher</w:t>
      </w:r>
    </w:p>
    <w:p w:rsidR="00D23228" w:rsidRPr="00E1122F" w:rsidRDefault="00D23228" w:rsidP="00D23228">
      <w:pPr>
        <w:spacing w:after="0" w:line="240" w:lineRule="auto"/>
        <w:rPr>
          <w:rFonts w:eastAsia="MS Mincho" w:cs="Arial"/>
        </w:rPr>
      </w:pPr>
    </w:p>
    <w:p w:rsidR="00D23228" w:rsidRPr="00E1122F" w:rsidRDefault="00D23228" w:rsidP="00D23228">
      <w:pPr>
        <w:spacing w:after="0" w:line="240" w:lineRule="auto"/>
        <w:rPr>
          <w:rFonts w:eastAsia="MS Mincho" w:cs="Arial"/>
        </w:rPr>
      </w:pPr>
      <w:r w:rsidRPr="00E1122F">
        <w:rPr>
          <w:rFonts w:eastAsia="MS Mincho" w:cs="Arial"/>
          <w:b/>
        </w:rPr>
        <w:t>COURSE</w:t>
      </w:r>
    </w:p>
    <w:p w:rsidR="00D23228" w:rsidRPr="00E1122F" w:rsidRDefault="00D23228" w:rsidP="00D2322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lang w:eastAsia="en-US"/>
        </w:rPr>
      </w:pPr>
      <w:r w:rsidRPr="00E1122F">
        <w:rPr>
          <w:rFonts w:ascii="Arial" w:eastAsia="MS Mincho" w:hAnsi="Arial" w:cs="Arial"/>
          <w:color w:val="auto"/>
          <w:lang w:eastAsia="en-US"/>
        </w:rPr>
        <w:t xml:space="preserve">Civics, Grade 10 (CHV2O), </w:t>
      </w:r>
      <w:r w:rsidRPr="00E1122F">
        <w:rPr>
          <w:rFonts w:ascii="Arial" w:eastAsia="MS Mincho" w:hAnsi="Arial" w:cs="Arial"/>
          <w:i/>
          <w:color w:val="auto"/>
          <w:lang w:eastAsia="en-US"/>
        </w:rPr>
        <w:t>and</w:t>
      </w:r>
      <w:r w:rsidRPr="00E1122F">
        <w:rPr>
          <w:rFonts w:ascii="Arial" w:eastAsia="MS Mincho" w:hAnsi="Arial" w:cs="Arial"/>
          <w:color w:val="auto"/>
          <w:lang w:eastAsia="en-US"/>
        </w:rPr>
        <w:t xml:space="preserve"> </w:t>
      </w:r>
    </w:p>
    <w:p w:rsidR="00D23228" w:rsidRPr="00E1122F" w:rsidRDefault="00D23228" w:rsidP="00D23228">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lang w:eastAsia="en-US"/>
        </w:rPr>
      </w:pPr>
      <w:r w:rsidRPr="00E1122F">
        <w:rPr>
          <w:rFonts w:ascii="Arial" w:hAnsi="Arial" w:cs="Arial"/>
        </w:rPr>
        <w:t>Healthy Active Living Education, Grade 10 (Health and Physical Education, PPL2O)</w:t>
      </w:r>
    </w:p>
    <w:p w:rsidR="00D23228" w:rsidRPr="00E1122F" w:rsidRDefault="00D23228" w:rsidP="00D23228">
      <w:pPr>
        <w:spacing w:after="0" w:line="240" w:lineRule="auto"/>
        <w:rPr>
          <w:rFonts w:eastAsia="MS Mincho" w:cs="Arial"/>
        </w:rPr>
      </w:pPr>
    </w:p>
    <w:p w:rsidR="00D23228" w:rsidRPr="00E1122F" w:rsidRDefault="00D23228" w:rsidP="00D23228">
      <w:pPr>
        <w:spacing w:after="0" w:line="240" w:lineRule="auto"/>
        <w:rPr>
          <w:rFonts w:eastAsia="MS Mincho" w:cs="Arial"/>
          <w:b/>
        </w:rPr>
      </w:pPr>
    </w:p>
    <w:p w:rsidR="00D23228" w:rsidRPr="00E1122F" w:rsidRDefault="00D23228" w:rsidP="00D23228">
      <w:pPr>
        <w:spacing w:after="0" w:line="240" w:lineRule="auto"/>
        <w:rPr>
          <w:rFonts w:eastAsia="MS Mincho" w:cs="Arial"/>
        </w:rPr>
      </w:pPr>
      <w:r w:rsidRPr="00E1122F">
        <w:rPr>
          <w:rFonts w:eastAsia="MS Mincho" w:cs="Arial"/>
          <w:b/>
        </w:rPr>
        <w:t xml:space="preserve">TIME: </w:t>
      </w:r>
      <w:r w:rsidRPr="00E1122F">
        <w:rPr>
          <w:rFonts w:eastAsia="MS Mincho" w:cs="Arial"/>
        </w:rPr>
        <w:t>Two 75-minute periods</w:t>
      </w:r>
    </w:p>
    <w:p w:rsidR="00D23228" w:rsidRPr="00E1122F" w:rsidRDefault="00D23228" w:rsidP="00D23228">
      <w:pPr>
        <w:spacing w:after="0" w:line="240" w:lineRule="auto"/>
        <w:rPr>
          <w:rFonts w:eastAsia="MS Mincho" w:cs="Arial"/>
          <w:b/>
        </w:rPr>
      </w:pPr>
    </w:p>
    <w:p w:rsidR="00D23228" w:rsidRPr="00E1122F" w:rsidRDefault="00D23228" w:rsidP="00D23228">
      <w:pPr>
        <w:spacing w:after="0" w:line="240" w:lineRule="auto"/>
        <w:rPr>
          <w:rFonts w:eastAsia="MS Mincho" w:cs="Arial"/>
          <w:b/>
        </w:rPr>
      </w:pPr>
      <w:r w:rsidRPr="00E1122F">
        <w:rPr>
          <w:rFonts w:eastAsia="MS Mincho" w:cs="Arial"/>
          <w:b/>
        </w:rPr>
        <w:t>EXPECTATIONS</w:t>
      </w:r>
    </w:p>
    <w:p w:rsidR="00D23228" w:rsidRPr="00E1122F" w:rsidRDefault="00D23228" w:rsidP="00D23228">
      <w:pPr>
        <w:numPr>
          <w:ilvl w:val="0"/>
          <w:numId w:val="23"/>
        </w:numPr>
        <w:spacing w:after="0" w:line="240" w:lineRule="auto"/>
        <w:contextualSpacing/>
        <w:rPr>
          <w:rFonts w:eastAsia="MS Mincho" w:cs="Arial"/>
        </w:rPr>
      </w:pPr>
      <w:r w:rsidRPr="00E1122F">
        <w:rPr>
          <w:rFonts w:eastAsia="MS Mincho" w:cs="Arial"/>
        </w:rPr>
        <w:t>B3. analyse key rights and responsibilities associated with citizenship, in both the Canadian and global context, and some ways in which these rights are protected</w:t>
      </w:r>
    </w:p>
    <w:p w:rsidR="00D23228" w:rsidRPr="00E1122F" w:rsidRDefault="00D23228" w:rsidP="00D23228">
      <w:pPr>
        <w:spacing w:after="0" w:line="240" w:lineRule="auto"/>
        <w:rPr>
          <w:rFonts w:eastAsia="MS Mincho" w:cs="Arial"/>
          <w:b/>
        </w:rPr>
      </w:pPr>
    </w:p>
    <w:p w:rsidR="00D23228" w:rsidRPr="00E1122F" w:rsidRDefault="00D23228" w:rsidP="00D23228">
      <w:pPr>
        <w:spacing w:after="0" w:line="240" w:lineRule="auto"/>
        <w:rPr>
          <w:rFonts w:eastAsia="MS Mincho" w:cs="Arial"/>
          <w:b/>
        </w:rPr>
      </w:pPr>
      <w:r w:rsidRPr="00E1122F">
        <w:rPr>
          <w:rFonts w:eastAsia="MS Mincho" w:cs="Arial"/>
          <w:b/>
        </w:rPr>
        <w:t xml:space="preserve">Healthy Active Living Education </w:t>
      </w:r>
    </w:p>
    <w:p w:rsidR="00D23228" w:rsidRPr="00E1122F" w:rsidRDefault="00D23228" w:rsidP="00D23228">
      <w:pPr>
        <w:numPr>
          <w:ilvl w:val="0"/>
          <w:numId w:val="23"/>
        </w:numPr>
        <w:spacing w:after="0" w:line="240" w:lineRule="auto"/>
        <w:contextualSpacing/>
        <w:rPr>
          <w:rFonts w:eastAsia="MS Mincho" w:cs="Arial"/>
        </w:rPr>
      </w:pPr>
      <w:r w:rsidRPr="00E1122F">
        <w:rPr>
          <w:rFonts w:eastAsia="MS Mincho" w:cs="Arial"/>
        </w:rPr>
        <w:t>C2. demonstrate the ability to apply health knowledge and living skills to make reasoned decisions and take appropriate actions relating to their personal health and well-being</w:t>
      </w:r>
    </w:p>
    <w:p w:rsidR="00D23228" w:rsidRPr="00E1122F" w:rsidRDefault="00D23228" w:rsidP="00D23228">
      <w:pPr>
        <w:numPr>
          <w:ilvl w:val="0"/>
          <w:numId w:val="23"/>
        </w:numPr>
        <w:spacing w:after="0" w:line="240" w:lineRule="auto"/>
        <w:contextualSpacing/>
        <w:rPr>
          <w:rFonts w:eastAsia="MS Mincho" w:cs="Arial"/>
        </w:rPr>
      </w:pPr>
      <w:r w:rsidRPr="00E1122F">
        <w:rPr>
          <w:rFonts w:eastAsia="MS Mincho" w:cs="Arial"/>
        </w:rPr>
        <w:t>C3. demonstrate the ability to make connections that relate to health and well-being – how their choices and behaviours affect both themselves and others, and how factors in the world around them affect their own and others’ health and well-being</w:t>
      </w:r>
    </w:p>
    <w:p w:rsidR="00D23228" w:rsidRPr="00E1122F" w:rsidRDefault="00D23228" w:rsidP="00D23228">
      <w:pPr>
        <w:spacing w:after="0" w:line="240" w:lineRule="auto"/>
        <w:contextualSpacing/>
        <w:rPr>
          <w:rFonts w:eastAsia="MS Mincho" w:cs="Arial"/>
        </w:rPr>
      </w:pPr>
    </w:p>
    <w:p w:rsidR="00D23228" w:rsidRPr="00E1122F" w:rsidRDefault="00D23228" w:rsidP="00D23228">
      <w:pPr>
        <w:spacing w:after="0" w:line="240" w:lineRule="auto"/>
        <w:rPr>
          <w:rFonts w:eastAsia="MS Mincho" w:cs="Arial"/>
          <w:b/>
        </w:rPr>
      </w:pPr>
      <w:r w:rsidRPr="00E1122F">
        <w:rPr>
          <w:rFonts w:eastAsia="MS Mincho" w:cs="Arial"/>
          <w:b/>
        </w:rPr>
        <w:t>LEARNING GOALS</w:t>
      </w:r>
    </w:p>
    <w:p w:rsidR="00D23228" w:rsidRPr="00E1122F" w:rsidRDefault="00D23228" w:rsidP="00D23228">
      <w:pPr>
        <w:spacing w:after="0" w:line="240" w:lineRule="auto"/>
        <w:rPr>
          <w:rFonts w:eastAsia="MS Mincho" w:cs="Arial"/>
        </w:rPr>
      </w:pPr>
      <w:r w:rsidRPr="00E1122F">
        <w:rPr>
          <w:rFonts w:eastAsia="MS Mincho" w:cs="Arial"/>
        </w:rPr>
        <w:t xml:space="preserve">Students will learn about: </w:t>
      </w:r>
    </w:p>
    <w:p w:rsidR="00D23228" w:rsidRPr="00E1122F" w:rsidRDefault="00D23228" w:rsidP="00D23228">
      <w:pPr>
        <w:numPr>
          <w:ilvl w:val="0"/>
          <w:numId w:val="22"/>
        </w:numPr>
        <w:spacing w:after="0" w:line="240" w:lineRule="auto"/>
        <w:contextualSpacing/>
        <w:rPr>
          <w:rFonts w:eastAsia="MS Mincho" w:cs="Arial"/>
          <w:b/>
        </w:rPr>
      </w:pPr>
      <w:r w:rsidRPr="00E1122F">
        <w:rPr>
          <w:rFonts w:eastAsia="MS Mincho" w:cs="Arial"/>
        </w:rPr>
        <w:t xml:space="preserve">how and why sexual violence and harassment are human rights violations;  </w:t>
      </w:r>
    </w:p>
    <w:p w:rsidR="00D23228" w:rsidRPr="00E1122F" w:rsidRDefault="00D23228" w:rsidP="00D23228">
      <w:pPr>
        <w:numPr>
          <w:ilvl w:val="0"/>
          <w:numId w:val="22"/>
        </w:numPr>
        <w:spacing w:after="0" w:line="240" w:lineRule="auto"/>
        <w:contextualSpacing/>
        <w:rPr>
          <w:rFonts w:eastAsia="MS Mincho" w:cs="Arial"/>
          <w:b/>
        </w:rPr>
      </w:pPr>
      <w:proofErr w:type="gramStart"/>
      <w:r w:rsidRPr="00E1122F">
        <w:rPr>
          <w:rFonts w:eastAsia="MS Mincho" w:cs="Arial"/>
        </w:rPr>
        <w:t>bystanders</w:t>
      </w:r>
      <w:proofErr w:type="gramEnd"/>
      <w:r w:rsidRPr="00E1122F">
        <w:rPr>
          <w:rFonts w:eastAsia="MS Mincho" w:cs="Arial"/>
        </w:rPr>
        <w:t>’ responsibility to intervene and prevent sexual violence and harassment.</w:t>
      </w:r>
    </w:p>
    <w:p w:rsidR="00D23228" w:rsidRPr="00E1122F" w:rsidRDefault="00D23228" w:rsidP="00D23228">
      <w:pPr>
        <w:spacing w:after="0" w:line="240" w:lineRule="auto"/>
        <w:rPr>
          <w:rFonts w:eastAsia="MS Mincho" w:cs="Arial"/>
        </w:rPr>
      </w:pPr>
    </w:p>
    <w:p w:rsidR="00D23228" w:rsidRPr="00E1122F" w:rsidRDefault="00D23228" w:rsidP="00D23228">
      <w:pPr>
        <w:spacing w:after="0" w:line="240" w:lineRule="auto"/>
        <w:rPr>
          <w:rFonts w:eastAsia="MS Mincho" w:cs="Arial"/>
          <w:b/>
        </w:rPr>
      </w:pPr>
      <w:r w:rsidRPr="00E1122F">
        <w:rPr>
          <w:rFonts w:eastAsia="MS Mincho" w:cs="Arial"/>
          <w:b/>
        </w:rPr>
        <w:t xml:space="preserve">SUCCESS CRITERIA </w:t>
      </w:r>
    </w:p>
    <w:p w:rsidR="00D23228" w:rsidRPr="00E1122F" w:rsidRDefault="00D23228" w:rsidP="00D23228">
      <w:pPr>
        <w:spacing w:before="11" w:line="266" w:lineRule="auto"/>
        <w:rPr>
          <w:rFonts w:cs="Arial"/>
        </w:rPr>
      </w:pPr>
      <w:r w:rsidRPr="00E1122F">
        <w:rPr>
          <w:rFonts w:cs="Arial"/>
        </w:rPr>
        <w:t>Teachers should work with their students to create success criteria appropriate for the class. Possible criteria for this lesson plan include the following:</w:t>
      </w:r>
    </w:p>
    <w:p w:rsidR="00D23228" w:rsidRPr="00E1122F" w:rsidRDefault="00D23228" w:rsidP="00D23228">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E1122F">
        <w:rPr>
          <w:rFonts w:ascii="Arial" w:eastAsia="MS Mincho" w:hAnsi="Arial" w:cs="Arial"/>
          <w:color w:val="auto"/>
          <w:lang w:eastAsia="en-US"/>
        </w:rPr>
        <w:t xml:space="preserve">I can describe ways in which sexual violence and harassment are human rights violations. </w:t>
      </w:r>
    </w:p>
    <w:p w:rsidR="00D23228" w:rsidRPr="00E1122F" w:rsidRDefault="00D23228" w:rsidP="00D23228">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E1122F">
        <w:rPr>
          <w:rFonts w:ascii="Arial" w:eastAsia="MS Mincho" w:hAnsi="Arial" w:cs="Arial"/>
          <w:color w:val="auto"/>
          <w:lang w:eastAsia="en-US"/>
        </w:rPr>
        <w:t>I understand and can communicate rights and responsibilities of victims and bystanders in cases of sexual violence and harassment.</w:t>
      </w:r>
    </w:p>
    <w:p w:rsidR="00D23228" w:rsidRPr="00E1122F" w:rsidRDefault="00D23228" w:rsidP="00D23228">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E1122F">
        <w:rPr>
          <w:rFonts w:ascii="Arial" w:hAnsi="Arial" w:cs="Arial"/>
        </w:rPr>
        <w:t xml:space="preserve">I am better prepared to </w:t>
      </w:r>
      <w:r w:rsidRPr="00E1122F">
        <w:rPr>
          <w:rFonts w:ascii="Arial" w:eastAsia="MS Mincho" w:hAnsi="Arial" w:cs="Arial"/>
          <w:color w:val="auto"/>
          <w:lang w:eastAsia="en-US"/>
        </w:rPr>
        <w:t xml:space="preserve">intervene in instances of sexual violence and harassment. </w:t>
      </w:r>
    </w:p>
    <w:p w:rsidR="00D23228" w:rsidRPr="00E1122F" w:rsidRDefault="00D23228" w:rsidP="00D23228">
      <w:pPr>
        <w:spacing w:after="0" w:line="240" w:lineRule="auto"/>
        <w:rPr>
          <w:rFonts w:eastAsia="MS Mincho" w:cs="Arial"/>
          <w:b/>
        </w:rPr>
      </w:pPr>
    </w:p>
    <w:p w:rsidR="00D23228" w:rsidRPr="00E1122F" w:rsidRDefault="00D23228" w:rsidP="00D23228">
      <w:pPr>
        <w:spacing w:after="0" w:line="240" w:lineRule="auto"/>
        <w:rPr>
          <w:rFonts w:eastAsia="MS Mincho" w:cs="Arial"/>
          <w:b/>
        </w:rPr>
      </w:pPr>
      <w:r w:rsidRPr="00E1122F">
        <w:rPr>
          <w:rFonts w:eastAsia="MS Mincho" w:cs="Arial"/>
          <w:b/>
        </w:rPr>
        <w:t>REQUIRED RESOURCES</w:t>
      </w:r>
    </w:p>
    <w:p w:rsidR="00D23228" w:rsidRPr="00E1122F" w:rsidRDefault="00D23228" w:rsidP="00D23228">
      <w:pPr>
        <w:numPr>
          <w:ilvl w:val="0"/>
          <w:numId w:val="21"/>
        </w:numPr>
        <w:spacing w:after="0" w:line="240" w:lineRule="auto"/>
        <w:contextualSpacing/>
        <w:rPr>
          <w:rFonts w:eastAsia="MS Mincho" w:cs="Arial"/>
        </w:rPr>
      </w:pPr>
      <w:r w:rsidRPr="00E1122F">
        <w:rPr>
          <w:rFonts w:eastAsia="MS Mincho" w:cs="Arial"/>
        </w:rPr>
        <w:t>Draw the Line Activity cards/posters, as selected by the teacher</w:t>
      </w:r>
    </w:p>
    <w:p w:rsidR="00D23228" w:rsidRPr="00E1122F" w:rsidRDefault="00D23228" w:rsidP="00D23228">
      <w:pPr>
        <w:numPr>
          <w:ilvl w:val="0"/>
          <w:numId w:val="21"/>
        </w:numPr>
        <w:spacing w:after="0" w:line="240" w:lineRule="auto"/>
        <w:contextualSpacing/>
        <w:rPr>
          <w:rFonts w:eastAsia="MS Mincho" w:cs="Arial"/>
        </w:rPr>
      </w:pPr>
      <w:r w:rsidRPr="00E1122F">
        <w:rPr>
          <w:rFonts w:eastAsia="MS Mincho" w:cs="Arial"/>
        </w:rPr>
        <w:t>chart paper and markers</w:t>
      </w:r>
    </w:p>
    <w:p w:rsidR="00D23228" w:rsidRPr="00E1122F" w:rsidRDefault="00D23228" w:rsidP="00D23228">
      <w:pPr>
        <w:spacing w:after="0" w:line="240" w:lineRule="auto"/>
        <w:rPr>
          <w:rFonts w:eastAsia="MS Mincho" w:cs="Arial"/>
        </w:rPr>
      </w:pPr>
    </w:p>
    <w:p w:rsidR="00D23228" w:rsidRPr="00E1122F" w:rsidRDefault="00D23228" w:rsidP="00D23228">
      <w:pPr>
        <w:spacing w:after="0" w:line="240" w:lineRule="auto"/>
        <w:rPr>
          <w:rFonts w:eastAsia="MS Mincho" w:cs="Arial"/>
          <w:b/>
        </w:rPr>
      </w:pPr>
      <w:r w:rsidRPr="00E1122F">
        <w:rPr>
          <w:rFonts w:eastAsia="MS Mincho" w:cs="Arial"/>
          <w:b/>
        </w:rPr>
        <w:t>LEARNING ENVIRONMENT</w:t>
      </w:r>
    </w:p>
    <w:p w:rsidR="00D23228" w:rsidRPr="00E1122F" w:rsidRDefault="00D23228" w:rsidP="00D23228">
      <w:pPr>
        <w:spacing w:after="0" w:line="240" w:lineRule="auto"/>
        <w:rPr>
          <w:rFonts w:eastAsia="MS Mincho" w:cs="Arial"/>
        </w:rPr>
      </w:pPr>
      <w:r w:rsidRPr="00E1122F">
        <w:rPr>
          <w:rFonts w:eastAsia="MS Mincho" w:cs="Arial"/>
        </w:rPr>
        <w:t xml:space="preserve">Regular classroom set-up </w:t>
      </w:r>
    </w:p>
    <w:p w:rsidR="00D23228" w:rsidRPr="00E1122F" w:rsidRDefault="00D23228" w:rsidP="00D23228">
      <w:pPr>
        <w:spacing w:after="0" w:line="240" w:lineRule="auto"/>
        <w:rPr>
          <w:rFonts w:eastAsia="MS Mincho" w:cs="Arial"/>
        </w:rPr>
      </w:pPr>
    </w:p>
    <w:p w:rsidR="00D23228" w:rsidRPr="00E1122F" w:rsidRDefault="00D23228" w:rsidP="00D23228">
      <w:pPr>
        <w:spacing w:after="0" w:line="240" w:lineRule="auto"/>
        <w:rPr>
          <w:rFonts w:eastAsia="MS Mincho" w:cs="Arial"/>
          <w:b/>
        </w:rPr>
      </w:pPr>
      <w:r w:rsidRPr="00E1122F">
        <w:rPr>
          <w:rFonts w:eastAsia="MS Mincho" w:cs="Arial"/>
          <w:b/>
        </w:rPr>
        <w:t xml:space="preserve">BACKGROUND INFORMATION FOR TEACHERS </w:t>
      </w:r>
    </w:p>
    <w:p w:rsidR="00E1122F" w:rsidRPr="00E1122F" w:rsidRDefault="00E1122F" w:rsidP="00E1122F">
      <w:pPr>
        <w:rPr>
          <w:rFonts w:eastAsia="Arial" w:cs="Arial"/>
        </w:rPr>
      </w:pPr>
      <w:r w:rsidRPr="00E1122F">
        <w:rPr>
          <w:rFonts w:cs="Arial"/>
        </w:rPr>
        <w:t xml:space="preserve">In this lesson, students examine sexual violence in the context of human rights and create a charter of rights and responsibilities related to gender-based violence. </w:t>
      </w:r>
      <w:r w:rsidRPr="00E1122F">
        <w:rPr>
          <w:rFonts w:eastAsia="Arial" w:cs="Arial"/>
        </w:rPr>
        <w:t xml:space="preserve">Gender-based and sexual violence violates a number of women’s rights and human rights, including “the right to </w:t>
      </w:r>
      <w:r w:rsidRPr="00E1122F">
        <w:rPr>
          <w:rFonts w:eastAsia="Arial" w:cs="Arial"/>
        </w:rPr>
        <w:lastRenderedPageBreak/>
        <w:t>life, the right not to be subject to torture or to cruel, inhuman or degrading treatment or punishment, the right to equal protection under the law, the right to equality in the family, or the right to the highest standard attainable of physical and mental health.”</w:t>
      </w:r>
      <w:r w:rsidRPr="00E1122F">
        <w:rPr>
          <w:rStyle w:val="FootnoteReference"/>
          <w:rFonts w:eastAsia="Arial" w:cs="Arial"/>
        </w:rPr>
        <w:footnoteReference w:id="2"/>
      </w:r>
      <w:r w:rsidRPr="00E1122F">
        <w:rPr>
          <w:rFonts w:eastAsia="Arial" w:cs="Arial"/>
        </w:rPr>
        <w:t xml:space="preserve"> </w:t>
      </w:r>
    </w:p>
    <w:p w:rsidR="00E1122F" w:rsidRPr="00E1122F" w:rsidRDefault="00E1122F" w:rsidP="00E1122F">
      <w:pPr>
        <w:rPr>
          <w:rFonts w:cs="Arial"/>
        </w:rPr>
      </w:pPr>
      <w:r w:rsidRPr="00E1122F">
        <w:rPr>
          <w:rFonts w:cs="Arial"/>
        </w:rPr>
        <w:t xml:space="preserve">Before the lesson: </w:t>
      </w:r>
    </w:p>
    <w:p w:rsidR="00E1122F" w:rsidRPr="00E1122F" w:rsidRDefault="00E1122F" w:rsidP="00E1122F">
      <w:pPr>
        <w:pStyle w:val="ListParagraph"/>
        <w:numPr>
          <w:ilvl w:val="0"/>
          <w:numId w:val="27"/>
        </w:numPr>
        <w:rPr>
          <w:rFonts w:ascii="Arial" w:hAnsi="Arial" w:cs="Arial"/>
        </w:rPr>
      </w:pPr>
      <w:r w:rsidRPr="00E1122F">
        <w:rPr>
          <w:rFonts w:ascii="Arial" w:hAnsi="Arial" w:cs="Arial"/>
        </w:rPr>
        <w:t xml:space="preserve">review sections 4.1 and 4.2 of this guide for further information on the Draw the Line cards and on preparing for classroom discussions of sexual violence prevention; </w:t>
      </w:r>
    </w:p>
    <w:p w:rsidR="00E1122F" w:rsidRPr="00E1122F" w:rsidRDefault="00E1122F" w:rsidP="00E1122F">
      <w:pPr>
        <w:pStyle w:val="ListParagraph"/>
        <w:numPr>
          <w:ilvl w:val="0"/>
          <w:numId w:val="27"/>
        </w:numPr>
        <w:rPr>
          <w:rFonts w:ascii="Arial" w:hAnsi="Arial" w:cs="Arial"/>
        </w:rPr>
      </w:pPr>
      <w:r w:rsidRPr="00E1122F">
        <w:rPr>
          <w:rFonts w:ascii="Arial" w:hAnsi="Arial" w:cs="Arial"/>
        </w:rPr>
        <w:t xml:space="preserve">review the definition of </w:t>
      </w:r>
      <w:r w:rsidRPr="00E1122F">
        <w:rPr>
          <w:rFonts w:ascii="Arial" w:hAnsi="Arial" w:cs="Arial"/>
          <w:i/>
        </w:rPr>
        <w:t>consent</w:t>
      </w:r>
      <w:r w:rsidRPr="00E1122F">
        <w:rPr>
          <w:rFonts w:ascii="Arial" w:hAnsi="Arial" w:cs="Arial"/>
        </w:rPr>
        <w:t xml:space="preserve"> (see glossary); </w:t>
      </w:r>
    </w:p>
    <w:p w:rsidR="00E1122F" w:rsidRPr="00E1122F" w:rsidRDefault="00E1122F" w:rsidP="00E1122F">
      <w:pPr>
        <w:pStyle w:val="ListParagraph"/>
        <w:numPr>
          <w:ilvl w:val="0"/>
          <w:numId w:val="27"/>
        </w:numPr>
        <w:rPr>
          <w:rFonts w:ascii="Arial" w:hAnsi="Arial" w:cs="Arial"/>
        </w:rPr>
      </w:pPr>
      <w:proofErr w:type="gramStart"/>
      <w:r w:rsidRPr="00E1122F">
        <w:rPr>
          <w:rFonts w:ascii="Arial" w:hAnsi="Arial" w:cs="Arial"/>
        </w:rPr>
        <w:t>select</w:t>
      </w:r>
      <w:proofErr w:type="gramEnd"/>
      <w:r w:rsidRPr="00E1122F">
        <w:rPr>
          <w:rFonts w:ascii="Arial" w:hAnsi="Arial" w:cs="Arial"/>
        </w:rPr>
        <w:t xml:space="preserve"> the Draw the Line Activity Cards for your lesson (see the selection of cards in section 1 of this guide). </w:t>
      </w:r>
    </w:p>
    <w:p w:rsidR="008C5064" w:rsidRPr="00E1122F" w:rsidRDefault="008C5064">
      <w:pPr>
        <w:rPr>
          <w:rFonts w:cs="Arial"/>
        </w:rPr>
      </w:pPr>
    </w:p>
    <w:p w:rsidR="00E1122F" w:rsidRPr="00E1122F" w:rsidRDefault="00E1122F" w:rsidP="00E1122F">
      <w:pPr>
        <w:spacing w:after="0" w:line="240" w:lineRule="auto"/>
        <w:rPr>
          <w:rFonts w:eastAsia="MS Mincho" w:cs="Arial"/>
          <w:b/>
        </w:rPr>
      </w:pPr>
      <w:r w:rsidRPr="00E1122F">
        <w:rPr>
          <w:rFonts w:eastAsia="MS Mincho" w:cs="Arial"/>
          <w:b/>
        </w:rPr>
        <w:t>LESSON</w:t>
      </w:r>
    </w:p>
    <w:p w:rsidR="00E1122F" w:rsidRPr="00E1122F" w:rsidRDefault="00E1122F" w:rsidP="00E1122F">
      <w:pPr>
        <w:spacing w:after="0" w:line="240" w:lineRule="auto"/>
        <w:rPr>
          <w:rFonts w:eastAsia="MS Mincho" w:cs="Arial"/>
          <w:b/>
        </w:rPr>
      </w:pPr>
    </w:p>
    <w:p w:rsidR="00E1122F" w:rsidRPr="00E1122F" w:rsidRDefault="00E1122F" w:rsidP="00E1122F">
      <w:pPr>
        <w:spacing w:after="0" w:line="240" w:lineRule="auto"/>
        <w:ind w:right="247"/>
        <w:rPr>
          <w:rFonts w:eastAsia="MS Mincho" w:cs="Arial"/>
          <w:b/>
        </w:rPr>
      </w:pPr>
      <w:r w:rsidRPr="00E1122F">
        <w:rPr>
          <w:rFonts w:eastAsia="MS Mincho" w:cs="Arial"/>
          <w:b/>
        </w:rPr>
        <w:t>1. Activate/Minds On</w:t>
      </w:r>
    </w:p>
    <w:p w:rsidR="00E1122F" w:rsidRPr="00E1122F" w:rsidRDefault="00E1122F" w:rsidP="00E1122F">
      <w:pPr>
        <w:spacing w:after="0" w:line="240" w:lineRule="auto"/>
        <w:ind w:right="247"/>
        <w:rPr>
          <w:rFonts w:eastAsia="MS Mincho" w:cs="Arial"/>
          <w:b/>
        </w:rPr>
      </w:pPr>
    </w:p>
    <w:p w:rsidR="00E1122F" w:rsidRPr="00E1122F" w:rsidRDefault="00E1122F" w:rsidP="00E1122F">
      <w:pPr>
        <w:rPr>
          <w:rFonts w:cs="Arial"/>
        </w:rPr>
      </w:pPr>
      <w:r w:rsidRPr="00E1122F">
        <w:rPr>
          <w:rFonts w:cs="Arial"/>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E1122F" w:rsidRPr="00E1122F" w:rsidRDefault="00E1122F" w:rsidP="00E1122F">
      <w:pPr>
        <w:rPr>
          <w:rFonts w:cs="Arial"/>
        </w:rPr>
      </w:pPr>
      <w:r w:rsidRPr="00E1122F">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E1122F" w:rsidRPr="00E1122F" w:rsidRDefault="00E1122F" w:rsidP="00E1122F">
      <w:pPr>
        <w:spacing w:after="0" w:line="240" w:lineRule="auto"/>
        <w:rPr>
          <w:rFonts w:cs="Arial"/>
        </w:rPr>
      </w:pPr>
      <w:r w:rsidRPr="00E1122F">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E1122F" w:rsidRPr="00E1122F" w:rsidRDefault="00E1122F" w:rsidP="00E1122F">
      <w:pPr>
        <w:spacing w:after="0" w:line="240" w:lineRule="auto"/>
        <w:rPr>
          <w:rFonts w:cs="Arial"/>
        </w:rPr>
      </w:pPr>
    </w:p>
    <w:p w:rsidR="00E1122F" w:rsidRPr="00E1122F" w:rsidRDefault="00E1122F" w:rsidP="00E1122F">
      <w:pPr>
        <w:spacing w:after="0" w:line="240" w:lineRule="auto"/>
        <w:rPr>
          <w:rFonts w:eastAsia="MS Mincho" w:cs="Arial"/>
        </w:rPr>
      </w:pPr>
      <w:r w:rsidRPr="00E1122F">
        <w:rPr>
          <w:rFonts w:cs="Arial"/>
        </w:rPr>
        <w:t xml:space="preserve">Review or discuss with students any agencies or and/or documents that are relevant to the issue of human rights, in Ontario, Canada, and globally (e.g., the Ontario Human Rights Code, the Canadian Charter of Rights and Freedoms, the UN Declaration on the Rights of the Child.) </w:t>
      </w:r>
    </w:p>
    <w:p w:rsidR="00E1122F" w:rsidRPr="00E1122F" w:rsidRDefault="00E1122F">
      <w:pPr>
        <w:rPr>
          <w:rFonts w:cs="Arial"/>
        </w:rPr>
      </w:pPr>
    </w:p>
    <w:p w:rsidR="00E1122F" w:rsidRPr="00E1122F" w:rsidRDefault="00E1122F">
      <w:pPr>
        <w:rPr>
          <w:rFonts w:cs="Arial"/>
        </w:rPr>
      </w:pPr>
      <w:r w:rsidRPr="00E1122F">
        <w:rPr>
          <w:rFonts w:cs="Arial"/>
        </w:rPr>
        <w:t xml:space="preserve">Have students form small groups, and then distribute two or three cards/posters to each group. Ask students to discuss the scenarios in their groups, using the following questions as a guide: </w:t>
      </w:r>
    </w:p>
    <w:p w:rsidR="00E1122F" w:rsidRPr="00E1122F" w:rsidRDefault="00E1122F" w:rsidP="00E1122F">
      <w:pPr>
        <w:pStyle w:val="ListParagraph"/>
        <w:numPr>
          <w:ilvl w:val="0"/>
          <w:numId w:val="28"/>
        </w:numPr>
        <w:rPr>
          <w:rFonts w:ascii="Arial" w:hAnsi="Arial" w:cs="Arial"/>
        </w:rPr>
      </w:pPr>
      <w:r w:rsidRPr="00E1122F">
        <w:rPr>
          <w:rFonts w:ascii="Arial" w:hAnsi="Arial" w:cs="Arial"/>
        </w:rPr>
        <w:t>How would you respond to the question that appears below the description of each scenario?</w:t>
      </w:r>
    </w:p>
    <w:p w:rsidR="00E1122F" w:rsidRPr="00E1122F" w:rsidRDefault="00E1122F" w:rsidP="00E1122F">
      <w:pPr>
        <w:pStyle w:val="ListParagraph"/>
        <w:numPr>
          <w:ilvl w:val="0"/>
          <w:numId w:val="28"/>
        </w:numPr>
        <w:rPr>
          <w:rFonts w:ascii="Arial" w:hAnsi="Arial" w:cs="Arial"/>
        </w:rPr>
      </w:pPr>
      <w:r w:rsidRPr="00E1122F">
        <w:rPr>
          <w:rFonts w:ascii="Arial" w:hAnsi="Arial" w:cs="Arial"/>
        </w:rPr>
        <w:t>Looking at your scenarios through a human rights lens, what do you think the concerns are?</w:t>
      </w:r>
    </w:p>
    <w:p w:rsidR="00E1122F" w:rsidRDefault="00E1122F" w:rsidP="00E1122F">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E1122F">
        <w:rPr>
          <w:rFonts w:ascii="Arial" w:eastAsia="MS Mincho" w:hAnsi="Arial" w:cs="Arial"/>
          <w:color w:val="auto"/>
          <w:lang w:eastAsia="en-US"/>
        </w:rPr>
        <w:lastRenderedPageBreak/>
        <w:t>Can you connect the issues presented in the scenarios to any human rights documents you have studied?</w:t>
      </w:r>
    </w:p>
    <w:p w:rsidR="00E1122F" w:rsidRPr="00E1122F" w:rsidRDefault="00E1122F" w:rsidP="00E1122F">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p>
    <w:p w:rsidR="00E1122F" w:rsidRPr="00E1122F" w:rsidRDefault="00E1122F" w:rsidP="00E1122F">
      <w:pPr>
        <w:spacing w:after="0" w:line="240" w:lineRule="auto"/>
        <w:rPr>
          <w:rFonts w:eastAsia="MS Mincho" w:cs="Arial"/>
          <w:b/>
        </w:rPr>
      </w:pPr>
      <w:r w:rsidRPr="00E1122F">
        <w:rPr>
          <w:rFonts w:eastAsia="MS Mincho" w:cs="Arial"/>
          <w:b/>
        </w:rPr>
        <w:t xml:space="preserve">2. Working </w:t>
      </w:r>
      <w:proofErr w:type="gramStart"/>
      <w:r w:rsidRPr="00E1122F">
        <w:rPr>
          <w:rFonts w:eastAsia="MS Mincho" w:cs="Arial"/>
          <w:b/>
        </w:rPr>
        <w:t>On</w:t>
      </w:r>
      <w:proofErr w:type="gramEnd"/>
      <w:r w:rsidRPr="00E1122F">
        <w:rPr>
          <w:rFonts w:eastAsia="MS Mincho" w:cs="Arial"/>
          <w:b/>
        </w:rPr>
        <w:t xml:space="preserve"> It </w:t>
      </w:r>
    </w:p>
    <w:p w:rsidR="00E1122F" w:rsidRPr="00E1122F" w:rsidRDefault="00E1122F" w:rsidP="00E1122F">
      <w:pPr>
        <w:spacing w:after="0" w:line="240" w:lineRule="auto"/>
        <w:rPr>
          <w:rFonts w:eastAsia="MS Mincho" w:cs="Arial"/>
          <w:b/>
        </w:rPr>
      </w:pPr>
    </w:p>
    <w:p w:rsidR="00E1122F" w:rsidRPr="00E1122F" w:rsidRDefault="00E1122F" w:rsidP="00E1122F">
      <w:pPr>
        <w:spacing w:after="0" w:line="240" w:lineRule="auto"/>
        <w:rPr>
          <w:rFonts w:eastAsia="MS Mincho" w:cs="Arial"/>
        </w:rPr>
      </w:pPr>
      <w:r w:rsidRPr="00E1122F">
        <w:rPr>
          <w:rFonts w:eastAsia="MS Mincho" w:cs="Arial"/>
        </w:rPr>
        <w:t>Discuss with the class the idea that with every right comes certain responsibilities (e.g., students have the right to an education, but with that right comes the responsibility to show up for class, do homework, etc.).</w:t>
      </w:r>
    </w:p>
    <w:p w:rsidR="00E1122F" w:rsidRPr="00E1122F" w:rsidRDefault="00E1122F" w:rsidP="00E1122F">
      <w:pPr>
        <w:spacing w:after="0" w:line="240" w:lineRule="auto"/>
        <w:rPr>
          <w:rFonts w:eastAsia="MS Mincho" w:cs="Arial"/>
        </w:rPr>
      </w:pPr>
    </w:p>
    <w:p w:rsidR="00E1122F" w:rsidRPr="00E1122F" w:rsidRDefault="00E1122F" w:rsidP="00E1122F">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E1122F">
        <w:rPr>
          <w:rFonts w:ascii="Arial" w:eastAsia="MS Mincho" w:hAnsi="Arial" w:cs="Arial"/>
          <w:color w:val="auto"/>
          <w:lang w:eastAsia="en-US"/>
        </w:rPr>
        <w:t>Have students choose a partner, and ask each pair to work together to design a brief (three to five points) charter of the rights and responsibilities of bystanders in situations of gender-based violence, sexual violence, and/or harassment, with a particular focus on violence that could be experienced by members of their school community</w:t>
      </w:r>
    </w:p>
    <w:p w:rsidR="00E1122F" w:rsidRPr="00E1122F" w:rsidRDefault="00E1122F" w:rsidP="00E1122F">
      <w:pPr>
        <w:spacing w:after="0" w:line="240" w:lineRule="auto"/>
        <w:rPr>
          <w:rFonts w:eastAsia="MS Mincho" w:cs="Arial"/>
        </w:rPr>
      </w:pPr>
    </w:p>
    <w:p w:rsidR="00E1122F" w:rsidRPr="00E1122F" w:rsidRDefault="00E1122F" w:rsidP="00E1122F">
      <w:pPr>
        <w:rPr>
          <w:rFonts w:cs="Arial"/>
        </w:rPr>
      </w:pPr>
      <w:r w:rsidRPr="00E1122F">
        <w:rPr>
          <w:rFonts w:cs="Arial"/>
        </w:rPr>
        <w:t xml:space="preserve">Have each pair partner with another group to compare the rights and responsibilities they have identified. </w:t>
      </w:r>
    </w:p>
    <w:p w:rsidR="00E1122F" w:rsidRPr="00E1122F" w:rsidRDefault="00E1122F" w:rsidP="00E1122F">
      <w:pPr>
        <w:spacing w:after="0" w:line="240" w:lineRule="auto"/>
        <w:rPr>
          <w:rFonts w:cs="Arial"/>
        </w:rPr>
      </w:pPr>
      <w:r w:rsidRPr="00E1122F">
        <w:rPr>
          <w:rFonts w:eastAsia="MS Mincho" w:cs="Arial"/>
        </w:rPr>
        <w:t xml:space="preserve">Note that </w:t>
      </w:r>
      <w:r w:rsidRPr="00E1122F">
        <w:rPr>
          <w:rFonts w:cs="Arial"/>
        </w:rPr>
        <w:t>bystanders’ responses and survivors’ needs may vary, depending on the situation. The “right” response depends on the circumstances (e.g., safety considerations for the bystander and the survivor; the survivor’s wishes). Educators should emphasize that, for bystanders, non-intervention or withdrawing from a situation is not neutral: it is harmful, as it allows the violence to continue.</w:t>
      </w:r>
    </w:p>
    <w:p w:rsidR="00E1122F" w:rsidRPr="00E1122F" w:rsidRDefault="00E1122F" w:rsidP="00E1122F">
      <w:pPr>
        <w:spacing w:after="0" w:line="240" w:lineRule="auto"/>
        <w:rPr>
          <w:rFonts w:cs="Arial"/>
        </w:rPr>
      </w:pPr>
    </w:p>
    <w:p w:rsidR="00E1122F" w:rsidRPr="00E1122F" w:rsidRDefault="00E1122F" w:rsidP="00E1122F">
      <w:pPr>
        <w:spacing w:after="0" w:line="240" w:lineRule="auto"/>
        <w:rPr>
          <w:rFonts w:eastAsia="MS Mincho" w:cs="Arial"/>
          <w:b/>
        </w:rPr>
      </w:pPr>
      <w:r w:rsidRPr="00E1122F">
        <w:rPr>
          <w:rFonts w:eastAsia="MS Mincho" w:cs="Arial"/>
          <w:b/>
        </w:rPr>
        <w:t>3. Consolidation</w:t>
      </w:r>
    </w:p>
    <w:p w:rsidR="00E1122F" w:rsidRPr="00E1122F" w:rsidRDefault="00E1122F" w:rsidP="00E1122F">
      <w:pPr>
        <w:spacing w:after="0" w:line="240" w:lineRule="auto"/>
        <w:rPr>
          <w:rFonts w:eastAsia="MS Mincho" w:cs="Arial"/>
        </w:rPr>
      </w:pPr>
    </w:p>
    <w:p w:rsidR="00E1122F" w:rsidRPr="00E1122F" w:rsidRDefault="00E1122F" w:rsidP="00E1122F">
      <w:pPr>
        <w:spacing w:after="0" w:line="240" w:lineRule="auto"/>
        <w:rPr>
          <w:rFonts w:eastAsia="MS Mincho" w:cs="Arial"/>
        </w:rPr>
      </w:pPr>
      <w:r w:rsidRPr="00E1122F">
        <w:rPr>
          <w:rFonts w:cs="Arial"/>
        </w:rPr>
        <w:t>Open the discussion to the whole class, with the goal of creating a charter consisting of the rights and responsibilities of bystanders that the class considers most important. Create a chart showing these rights and responsibilities, and encourage the class to discuss why they felt these were important.</w:t>
      </w:r>
    </w:p>
    <w:p w:rsidR="00E1122F" w:rsidRPr="00E1122F" w:rsidRDefault="00E1122F" w:rsidP="00E1122F">
      <w:pPr>
        <w:spacing w:after="0" w:line="240" w:lineRule="auto"/>
        <w:rPr>
          <w:rFonts w:eastAsia="MS Mincho" w:cs="Arial"/>
        </w:rPr>
      </w:pPr>
    </w:p>
    <w:p w:rsidR="00E1122F" w:rsidRPr="00E1122F" w:rsidRDefault="00E1122F" w:rsidP="00E1122F">
      <w:pPr>
        <w:pStyle w:val="NormalWeb"/>
        <w:spacing w:before="0" w:beforeAutospacing="0" w:after="0" w:afterAutospacing="0"/>
        <w:rPr>
          <w:rFonts w:ascii="Arial" w:hAnsi="Arial" w:cs="Arial"/>
          <w:sz w:val="22"/>
          <w:szCs w:val="22"/>
        </w:rPr>
      </w:pPr>
      <w:r w:rsidRPr="00E1122F">
        <w:rPr>
          <w:rFonts w:ascii="Arial" w:hAnsi="Arial" w:cs="Arial"/>
          <w:sz w:val="22"/>
          <w:szCs w:val="22"/>
        </w:rPr>
        <w:t xml:space="preserve">After they have completed this task, ask students questions to encourage reflection, such as the following: </w:t>
      </w:r>
    </w:p>
    <w:p w:rsidR="00E1122F" w:rsidRPr="00E1122F" w:rsidRDefault="00E1122F" w:rsidP="00E1122F">
      <w:pPr>
        <w:pStyle w:val="NormalWeb"/>
        <w:numPr>
          <w:ilvl w:val="0"/>
          <w:numId w:val="7"/>
        </w:numPr>
        <w:spacing w:before="0" w:beforeAutospacing="0" w:after="0" w:afterAutospacing="0"/>
        <w:rPr>
          <w:rFonts w:ascii="Arial" w:hAnsi="Arial" w:cs="Arial"/>
          <w:sz w:val="22"/>
          <w:szCs w:val="22"/>
        </w:rPr>
      </w:pPr>
      <w:r w:rsidRPr="00E1122F">
        <w:rPr>
          <w:rFonts w:ascii="Arial" w:hAnsi="Arial" w:cs="Arial"/>
          <w:sz w:val="22"/>
          <w:szCs w:val="22"/>
        </w:rPr>
        <w:t xml:space="preserve">What skills do you need to respond to the potentially threatening situations we have been discussing? </w:t>
      </w:r>
    </w:p>
    <w:p w:rsidR="00E1122F" w:rsidRPr="00E1122F" w:rsidRDefault="00E1122F" w:rsidP="00E1122F">
      <w:pPr>
        <w:pStyle w:val="NormalWeb"/>
        <w:numPr>
          <w:ilvl w:val="0"/>
          <w:numId w:val="7"/>
        </w:numPr>
        <w:spacing w:before="0" w:beforeAutospacing="0" w:after="0" w:afterAutospacing="0"/>
        <w:rPr>
          <w:rFonts w:ascii="Arial" w:hAnsi="Arial" w:cs="Arial"/>
          <w:sz w:val="22"/>
          <w:szCs w:val="22"/>
        </w:rPr>
      </w:pPr>
      <w:r w:rsidRPr="00E1122F">
        <w:rPr>
          <w:rFonts w:ascii="Arial" w:hAnsi="Arial" w:cs="Arial"/>
          <w:sz w:val="22"/>
          <w:szCs w:val="22"/>
        </w:rPr>
        <w:t xml:space="preserve">How do you know that you have made the right decision about what action to take? </w:t>
      </w:r>
    </w:p>
    <w:p w:rsidR="00E1122F" w:rsidRPr="00E1122F" w:rsidRDefault="00E1122F" w:rsidP="00E1122F">
      <w:pPr>
        <w:spacing w:after="0" w:line="240" w:lineRule="auto"/>
        <w:rPr>
          <w:rFonts w:eastAsia="MS Mincho" w:cs="Arial"/>
        </w:rPr>
      </w:pPr>
    </w:p>
    <w:p w:rsidR="00E1122F" w:rsidRPr="00E1122F" w:rsidRDefault="00E1122F" w:rsidP="00E1122F">
      <w:pPr>
        <w:spacing w:after="0" w:line="240" w:lineRule="auto"/>
        <w:rPr>
          <w:rFonts w:eastAsia="MS Mincho" w:cs="Arial"/>
          <w:b/>
        </w:rPr>
      </w:pPr>
    </w:p>
    <w:p w:rsidR="00E1122F" w:rsidRPr="00E1122F" w:rsidRDefault="00E1122F" w:rsidP="00E1122F">
      <w:pPr>
        <w:spacing w:after="0" w:line="240" w:lineRule="auto"/>
        <w:jc w:val="both"/>
        <w:rPr>
          <w:rFonts w:eastAsia="MS Mincho" w:cs="Arial"/>
          <w:b/>
        </w:rPr>
      </w:pPr>
      <w:r w:rsidRPr="00E1122F">
        <w:rPr>
          <w:rFonts w:eastAsia="MS Mincho" w:cs="Arial"/>
          <w:b/>
        </w:rPr>
        <w:t xml:space="preserve">4. Final thoughts </w:t>
      </w:r>
    </w:p>
    <w:p w:rsidR="00E1122F" w:rsidRPr="00E1122F" w:rsidRDefault="00E1122F" w:rsidP="00E1122F">
      <w:pPr>
        <w:rPr>
          <w:rFonts w:cs="Arial"/>
        </w:rPr>
      </w:pPr>
      <w:r w:rsidRPr="00E1122F">
        <w:rPr>
          <w:rFonts w:cs="Arial"/>
        </w:rPr>
        <w:t>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E1122F" w:rsidRPr="00E1122F" w:rsidRDefault="00E1122F" w:rsidP="00E1122F">
      <w:pPr>
        <w:spacing w:after="0" w:line="240" w:lineRule="auto"/>
        <w:rPr>
          <w:rFonts w:eastAsia="MS Mincho" w:cs="Arial"/>
        </w:rPr>
      </w:pPr>
    </w:p>
    <w:p w:rsidR="00E1122F" w:rsidRPr="00E1122F" w:rsidRDefault="00E1122F" w:rsidP="00E1122F">
      <w:pPr>
        <w:spacing w:after="0" w:line="240" w:lineRule="auto"/>
        <w:rPr>
          <w:rFonts w:eastAsia="MS Mincho" w:cs="Arial"/>
          <w:b/>
        </w:rPr>
      </w:pPr>
      <w:r w:rsidRPr="00E1122F">
        <w:rPr>
          <w:rFonts w:eastAsia="MS Mincho" w:cs="Arial"/>
          <w:b/>
        </w:rPr>
        <w:t xml:space="preserve">5. Optional activity </w:t>
      </w:r>
    </w:p>
    <w:p w:rsidR="00E1122F" w:rsidRPr="00E1122F" w:rsidRDefault="00E1122F" w:rsidP="00E1122F">
      <w:pPr>
        <w:spacing w:after="0" w:line="240" w:lineRule="auto"/>
        <w:rPr>
          <w:rFonts w:eastAsia="MS Mincho" w:cs="Arial"/>
        </w:rPr>
      </w:pPr>
      <w:r w:rsidRPr="00E1122F">
        <w:rPr>
          <w:rFonts w:eastAsia="MS Mincho" w:cs="Arial"/>
        </w:rPr>
        <w:t xml:space="preserve">You may wish to have students delve further into the relationship between the judicial system and gender-based violence as a human rights issue (see expectation B3.3 in the Civics course: “explain how the judicial system and other institutions and/or organizations help protect the </w:t>
      </w:r>
      <w:r w:rsidRPr="00E1122F">
        <w:rPr>
          <w:rFonts w:eastAsia="MS Mincho" w:cs="Arial"/>
        </w:rPr>
        <w:lastRenderedPageBreak/>
        <w:t xml:space="preserve">rights of individuals and the public good in Canada”). Students could also choose to address gender-based violence when they develop a plan of action (see overall expectation C3: “analyse a civic issue of personal interest and develop a plan of action to address it”). </w:t>
      </w:r>
    </w:p>
    <w:sectPr w:rsidR="00E1122F" w:rsidRPr="00E112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E5" w:rsidRDefault="00A021E5" w:rsidP="008C5064">
      <w:pPr>
        <w:spacing w:after="0" w:line="240" w:lineRule="auto"/>
      </w:pPr>
      <w:r>
        <w:separator/>
      </w:r>
    </w:p>
  </w:endnote>
  <w:endnote w:type="continuationSeparator" w:id="0">
    <w:p w:rsidR="00A021E5" w:rsidRDefault="00A021E5" w:rsidP="008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E5" w:rsidRDefault="00A021E5" w:rsidP="008C5064">
      <w:pPr>
        <w:spacing w:after="0" w:line="240" w:lineRule="auto"/>
      </w:pPr>
      <w:r>
        <w:separator/>
      </w:r>
    </w:p>
  </w:footnote>
  <w:footnote w:type="continuationSeparator" w:id="0">
    <w:p w:rsidR="00A021E5" w:rsidRDefault="00A021E5" w:rsidP="008C5064">
      <w:pPr>
        <w:spacing w:after="0" w:line="240" w:lineRule="auto"/>
      </w:pPr>
      <w:r>
        <w:continuationSeparator/>
      </w:r>
    </w:p>
  </w:footnote>
  <w:footnote w:id="1">
    <w:p w:rsidR="008C5064" w:rsidRPr="004F4372" w:rsidRDefault="008C5064" w:rsidP="008C5064">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 w:id="2">
    <w:p w:rsidR="00E1122F" w:rsidRPr="003A01C8" w:rsidRDefault="00E1122F" w:rsidP="00E1122F">
      <w:pPr>
        <w:keepNext/>
        <w:keepLines/>
        <w:spacing w:before="200"/>
        <w:outlineLvl w:val="7"/>
        <w:rPr>
          <w:rFonts w:eastAsia="Arial" w:cs="Arial"/>
          <w:sz w:val="18"/>
          <w:szCs w:val="18"/>
        </w:rPr>
      </w:pPr>
      <w:r>
        <w:rPr>
          <w:rStyle w:val="FootnoteReference"/>
        </w:rPr>
        <w:footnoteRef/>
      </w:r>
      <w:r>
        <w:t xml:space="preserve"> </w:t>
      </w:r>
      <w:r w:rsidRPr="00D6514D">
        <w:rPr>
          <w:rFonts w:eastAsia="Arial" w:cs="Arial"/>
          <w:sz w:val="18"/>
          <w:szCs w:val="18"/>
        </w:rPr>
        <w:t xml:space="preserve">WAVE and UNFPA Regional Office for Eastern Europe and Central Asia, </w:t>
      </w:r>
      <w:r w:rsidRPr="00D6514D">
        <w:rPr>
          <w:rFonts w:eastAsia="Arial" w:cs="Arial"/>
          <w:i/>
          <w:sz w:val="18"/>
          <w:szCs w:val="18"/>
        </w:rPr>
        <w:t>Strengthening Health System Responses to Gender-based Violence in Eastern Europe and Central Asia</w:t>
      </w:r>
      <w:r>
        <w:rPr>
          <w:rFonts w:eastAsia="Arial" w:cs="Arial"/>
          <w:i/>
          <w:sz w:val="18"/>
          <w:szCs w:val="18"/>
        </w:rPr>
        <w:t xml:space="preserve"> </w:t>
      </w:r>
      <w:r w:rsidRPr="00D6514D">
        <w:rPr>
          <w:rFonts w:eastAsia="Arial" w:cs="Arial"/>
          <w:sz w:val="18"/>
          <w:szCs w:val="18"/>
        </w:rPr>
        <w:t>(2014)</w:t>
      </w:r>
    </w:p>
    <w:p w:rsidR="00E1122F" w:rsidRPr="00E1122F" w:rsidRDefault="00E1122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1D"/>
    <w:multiLevelType w:val="hybridMultilevel"/>
    <w:tmpl w:val="059C8F64"/>
    <w:lvl w:ilvl="0" w:tplc="C76C0A04">
      <w:start w:val="1"/>
      <w:numFmt w:val="bullet"/>
      <w:lvlText w:val=""/>
      <w:lvlJc w:val="left"/>
      <w:pPr>
        <w:ind w:left="1287" w:hanging="39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27D1C"/>
    <w:multiLevelType w:val="hybridMultilevel"/>
    <w:tmpl w:val="EE8AC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B0864"/>
    <w:multiLevelType w:val="hybridMultilevel"/>
    <w:tmpl w:val="3B162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F777C6"/>
    <w:multiLevelType w:val="hybridMultilevel"/>
    <w:tmpl w:val="7846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CE7ACE"/>
    <w:multiLevelType w:val="hybridMultilevel"/>
    <w:tmpl w:val="EE9A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2124CE"/>
    <w:multiLevelType w:val="hybridMultilevel"/>
    <w:tmpl w:val="684ED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C739B3"/>
    <w:multiLevelType w:val="hybridMultilevel"/>
    <w:tmpl w:val="724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E3378"/>
    <w:multiLevelType w:val="hybridMultilevel"/>
    <w:tmpl w:val="9F7E4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827317"/>
    <w:multiLevelType w:val="multilevel"/>
    <w:tmpl w:val="26FE5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A95F7B"/>
    <w:multiLevelType w:val="hybridMultilevel"/>
    <w:tmpl w:val="96022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643A72"/>
    <w:multiLevelType w:val="multilevel"/>
    <w:tmpl w:val="B78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E31A2"/>
    <w:multiLevelType w:val="hybridMultilevel"/>
    <w:tmpl w:val="9A04F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0268F5"/>
    <w:multiLevelType w:val="hybridMultilevel"/>
    <w:tmpl w:val="8A42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B09CC"/>
    <w:multiLevelType w:val="hybridMultilevel"/>
    <w:tmpl w:val="2BA82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863EBD"/>
    <w:multiLevelType w:val="multilevel"/>
    <w:tmpl w:val="2F82E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4262B01"/>
    <w:multiLevelType w:val="multilevel"/>
    <w:tmpl w:val="450E7E74"/>
    <w:lvl w:ilvl="0">
      <w:start w:val="1"/>
      <w:numFmt w:val="bullet"/>
      <w:lvlText w:val="●"/>
      <w:lvlJc w:val="left"/>
      <w:pPr>
        <w:ind w:left="0" w:firstLine="405"/>
      </w:pPr>
      <w:rPr>
        <w:rFonts w:ascii="Arial" w:eastAsia="Arial" w:hAnsi="Arial" w:cs="Arial"/>
      </w:r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16" w15:restartNumberingAfterBreak="0">
    <w:nsid w:val="4AFD1CC0"/>
    <w:multiLevelType w:val="hybridMultilevel"/>
    <w:tmpl w:val="38962B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B634D9"/>
    <w:multiLevelType w:val="hybridMultilevel"/>
    <w:tmpl w:val="3DE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345D6"/>
    <w:multiLevelType w:val="hybridMultilevel"/>
    <w:tmpl w:val="AD4E1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312808"/>
    <w:multiLevelType w:val="hybridMultilevel"/>
    <w:tmpl w:val="EFA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761DF9"/>
    <w:multiLevelType w:val="hybridMultilevel"/>
    <w:tmpl w:val="06E0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565ED3"/>
    <w:multiLevelType w:val="hybridMultilevel"/>
    <w:tmpl w:val="3C0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C35C4"/>
    <w:multiLevelType w:val="hybridMultilevel"/>
    <w:tmpl w:val="D5408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3E64F0"/>
    <w:multiLevelType w:val="hybridMultilevel"/>
    <w:tmpl w:val="3A76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794585"/>
    <w:multiLevelType w:val="hybridMultilevel"/>
    <w:tmpl w:val="3D2E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945F5E"/>
    <w:multiLevelType w:val="hybridMultilevel"/>
    <w:tmpl w:val="D9B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1253"/>
    <w:multiLevelType w:val="hybridMultilevel"/>
    <w:tmpl w:val="5A0C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2A5F83"/>
    <w:multiLevelType w:val="hybridMultilevel"/>
    <w:tmpl w:val="E03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81452"/>
    <w:multiLevelType w:val="multilevel"/>
    <w:tmpl w:val="A23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25"/>
  </w:num>
  <w:num w:numId="4">
    <w:abstractNumId w:val="5"/>
  </w:num>
  <w:num w:numId="5">
    <w:abstractNumId w:val="23"/>
  </w:num>
  <w:num w:numId="6">
    <w:abstractNumId w:val="4"/>
  </w:num>
  <w:num w:numId="7">
    <w:abstractNumId w:val="0"/>
  </w:num>
  <w:num w:numId="8">
    <w:abstractNumId w:val="17"/>
  </w:num>
  <w:num w:numId="9">
    <w:abstractNumId w:val="26"/>
  </w:num>
  <w:num w:numId="10">
    <w:abstractNumId w:val="21"/>
  </w:num>
  <w:num w:numId="11">
    <w:abstractNumId w:val="29"/>
  </w:num>
  <w:num w:numId="12">
    <w:abstractNumId w:val="13"/>
  </w:num>
  <w:num w:numId="13">
    <w:abstractNumId w:val="1"/>
  </w:num>
  <w:num w:numId="14">
    <w:abstractNumId w:val="20"/>
  </w:num>
  <w:num w:numId="15">
    <w:abstractNumId w:val="16"/>
  </w:num>
  <w:num w:numId="16">
    <w:abstractNumId w:val="27"/>
  </w:num>
  <w:num w:numId="17">
    <w:abstractNumId w:val="3"/>
  </w:num>
  <w:num w:numId="18">
    <w:abstractNumId w:val="10"/>
  </w:num>
  <w:num w:numId="19">
    <w:abstractNumId w:val="15"/>
  </w:num>
  <w:num w:numId="20">
    <w:abstractNumId w:val="6"/>
  </w:num>
  <w:num w:numId="21">
    <w:abstractNumId w:val="22"/>
  </w:num>
  <w:num w:numId="22">
    <w:abstractNumId w:val="11"/>
  </w:num>
  <w:num w:numId="23">
    <w:abstractNumId w:val="9"/>
  </w:num>
  <w:num w:numId="24">
    <w:abstractNumId w:val="18"/>
  </w:num>
  <w:num w:numId="25">
    <w:abstractNumId w:val="12"/>
  </w:num>
  <w:num w:numId="26">
    <w:abstractNumId w:val="8"/>
  </w:num>
  <w:num w:numId="27">
    <w:abstractNumId w:val="7"/>
  </w:num>
  <w:num w:numId="28">
    <w:abstractNumId w:val="2"/>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LYwsTQ3MTM1M7JU0lEKTi0uzszPAykwrQUAW6wWTCwAAAA="/>
  </w:docVars>
  <w:rsids>
    <w:rsidRoot w:val="008C5064"/>
    <w:rsid w:val="00454598"/>
    <w:rsid w:val="004D5E59"/>
    <w:rsid w:val="00533509"/>
    <w:rsid w:val="006922A9"/>
    <w:rsid w:val="00894569"/>
    <w:rsid w:val="008C5064"/>
    <w:rsid w:val="00A021E5"/>
    <w:rsid w:val="00B70624"/>
    <w:rsid w:val="00C43732"/>
    <w:rsid w:val="00D23228"/>
    <w:rsid w:val="00E1122F"/>
    <w:rsid w:val="00F81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5CC-4618-4C17-9CD9-3EF5356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64"/>
    <w:rPr>
      <w:rFonts w:ascii="Arial" w:hAnsi="Arial"/>
    </w:rPr>
  </w:style>
  <w:style w:type="paragraph" w:styleId="Heading1">
    <w:name w:val="heading 1"/>
    <w:basedOn w:val="Normal"/>
    <w:next w:val="Normal"/>
    <w:link w:val="Heading1Char"/>
    <w:uiPriority w:val="9"/>
    <w:qFormat/>
    <w:rsid w:val="008C5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C5064"/>
    <w:pPr>
      <w:keepNext/>
      <w:keepLines/>
      <w:widowControl w:val="0"/>
      <w:pBdr>
        <w:top w:val="nil"/>
        <w:left w:val="nil"/>
        <w:bottom w:val="nil"/>
        <w:right w:val="nil"/>
        <w:between w:val="nil"/>
      </w:pBdr>
      <w:spacing w:before="40" w:after="0"/>
      <w:outlineLvl w:val="1"/>
    </w:pPr>
    <w:rPr>
      <w:rFonts w:ascii="Calibri" w:eastAsia="Calibri" w:hAnsi="Calibri" w:cs="Calibri"/>
      <w:color w:val="2E75B5"/>
      <w:sz w:val="26"/>
      <w:szCs w:val="26"/>
      <w:lang w:eastAsia="en-CA"/>
    </w:rPr>
  </w:style>
  <w:style w:type="paragraph" w:styleId="Heading6">
    <w:name w:val="heading 6"/>
    <w:basedOn w:val="Normal"/>
    <w:next w:val="Normal"/>
    <w:link w:val="Heading6Char"/>
    <w:uiPriority w:val="9"/>
    <w:semiHidden/>
    <w:unhideWhenUsed/>
    <w:qFormat/>
    <w:rsid w:val="00E1122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064"/>
    <w:rPr>
      <w:rFonts w:ascii="Calibri" w:eastAsia="Calibri" w:hAnsi="Calibri" w:cs="Calibri"/>
      <w:color w:val="2E75B5"/>
      <w:sz w:val="26"/>
      <w:szCs w:val="26"/>
      <w:lang w:eastAsia="en-CA"/>
    </w:rPr>
  </w:style>
  <w:style w:type="paragraph" w:styleId="FootnoteText">
    <w:name w:val="footnote text"/>
    <w:basedOn w:val="Normal"/>
    <w:link w:val="FootnoteTextChar"/>
    <w:uiPriority w:val="99"/>
    <w:unhideWhenUsed/>
    <w:rsid w:val="008C50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C5064"/>
    <w:rPr>
      <w:sz w:val="20"/>
      <w:szCs w:val="20"/>
    </w:rPr>
  </w:style>
  <w:style w:type="character" w:styleId="FootnoteReference">
    <w:name w:val="footnote reference"/>
    <w:basedOn w:val="DefaultParagraphFont"/>
    <w:uiPriority w:val="99"/>
    <w:unhideWhenUsed/>
    <w:rsid w:val="008C5064"/>
    <w:rPr>
      <w:vertAlign w:val="superscript"/>
    </w:rPr>
  </w:style>
  <w:style w:type="character" w:styleId="Hyperlink">
    <w:name w:val="Hyperlink"/>
    <w:basedOn w:val="DefaultParagraphFont"/>
    <w:uiPriority w:val="99"/>
    <w:unhideWhenUsed/>
    <w:rsid w:val="008C5064"/>
    <w:rPr>
      <w:color w:val="0563C1" w:themeColor="hyperlink"/>
      <w:u w:val="single"/>
    </w:rPr>
  </w:style>
  <w:style w:type="paragraph" w:styleId="ListParagraph">
    <w:name w:val="List Paragraph"/>
    <w:basedOn w:val="Normal"/>
    <w:uiPriority w:val="34"/>
    <w:qFormat/>
    <w:rsid w:val="008C5064"/>
    <w:pPr>
      <w:widowControl w:val="0"/>
      <w:pBdr>
        <w:top w:val="nil"/>
        <w:left w:val="nil"/>
        <w:bottom w:val="nil"/>
        <w:right w:val="nil"/>
        <w:between w:val="nil"/>
      </w:pBdr>
      <w:ind w:left="720"/>
      <w:contextualSpacing/>
    </w:pPr>
    <w:rPr>
      <w:rFonts w:ascii="Calibri" w:eastAsia="Calibri" w:hAnsi="Calibri" w:cs="Calibri"/>
      <w:color w:val="000000"/>
      <w:lang w:eastAsia="en-CA"/>
    </w:rPr>
  </w:style>
  <w:style w:type="character" w:customStyle="1" w:styleId="Heading1Char">
    <w:name w:val="Heading 1 Char"/>
    <w:basedOn w:val="DefaultParagraphFont"/>
    <w:link w:val="Heading1"/>
    <w:uiPriority w:val="9"/>
    <w:rsid w:val="008C506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8C506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06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8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3732"/>
    <w:pPr>
      <w:outlineLvl w:val="9"/>
    </w:pPr>
    <w:rPr>
      <w:lang w:val="en-US"/>
    </w:rPr>
  </w:style>
  <w:style w:type="paragraph" w:styleId="TOC2">
    <w:name w:val="toc 2"/>
    <w:basedOn w:val="Normal"/>
    <w:next w:val="Normal"/>
    <w:autoRedefine/>
    <w:uiPriority w:val="39"/>
    <w:unhideWhenUsed/>
    <w:rsid w:val="00C43732"/>
    <w:pPr>
      <w:spacing w:after="100"/>
      <w:ind w:left="220"/>
    </w:pPr>
  </w:style>
  <w:style w:type="paragraph" w:styleId="TOC1">
    <w:name w:val="toc 1"/>
    <w:basedOn w:val="Normal"/>
    <w:next w:val="Normal"/>
    <w:autoRedefine/>
    <w:uiPriority w:val="39"/>
    <w:unhideWhenUsed/>
    <w:rsid w:val="00C43732"/>
    <w:pPr>
      <w:spacing w:after="100"/>
    </w:pPr>
  </w:style>
  <w:style w:type="character" w:styleId="CommentReference">
    <w:name w:val="annotation reference"/>
    <w:basedOn w:val="DefaultParagraphFont"/>
    <w:uiPriority w:val="99"/>
    <w:semiHidden/>
    <w:unhideWhenUsed/>
    <w:rsid w:val="00E1122F"/>
    <w:rPr>
      <w:sz w:val="18"/>
      <w:szCs w:val="18"/>
    </w:rPr>
  </w:style>
  <w:style w:type="paragraph" w:styleId="CommentText">
    <w:name w:val="annotation text"/>
    <w:basedOn w:val="Normal"/>
    <w:link w:val="CommentTextChar"/>
    <w:uiPriority w:val="99"/>
    <w:unhideWhenUsed/>
    <w:rsid w:val="00E1122F"/>
    <w:pPr>
      <w:widowControl w:val="0"/>
      <w:pBdr>
        <w:top w:val="nil"/>
        <w:left w:val="nil"/>
        <w:bottom w:val="nil"/>
        <w:right w:val="nil"/>
        <w:between w:val="nil"/>
      </w:pBdr>
      <w:spacing w:line="240" w:lineRule="auto"/>
    </w:pPr>
    <w:rPr>
      <w:rFonts w:ascii="Calibri" w:eastAsia="Calibri" w:hAnsi="Calibri" w:cs="Calibri"/>
      <w:color w:val="000000"/>
      <w:sz w:val="20"/>
      <w:szCs w:val="24"/>
      <w:lang w:eastAsia="en-CA"/>
    </w:rPr>
  </w:style>
  <w:style w:type="character" w:customStyle="1" w:styleId="CommentTextChar">
    <w:name w:val="Comment Text Char"/>
    <w:basedOn w:val="DefaultParagraphFont"/>
    <w:link w:val="CommentText"/>
    <w:uiPriority w:val="99"/>
    <w:rsid w:val="00E1122F"/>
    <w:rPr>
      <w:rFonts w:ascii="Calibri" w:eastAsia="Calibri" w:hAnsi="Calibri" w:cs="Calibri"/>
      <w:color w:val="000000"/>
      <w:sz w:val="20"/>
      <w:szCs w:val="24"/>
      <w:lang w:eastAsia="en-CA"/>
    </w:rPr>
  </w:style>
  <w:style w:type="paragraph" w:styleId="BalloonText">
    <w:name w:val="Balloon Text"/>
    <w:basedOn w:val="Normal"/>
    <w:link w:val="BalloonTextChar"/>
    <w:uiPriority w:val="99"/>
    <w:semiHidden/>
    <w:unhideWhenUsed/>
    <w:rsid w:val="00E1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2F"/>
    <w:rPr>
      <w:rFonts w:ascii="Segoe UI" w:hAnsi="Segoe UI" w:cs="Segoe UI"/>
      <w:sz w:val="18"/>
      <w:szCs w:val="18"/>
    </w:rPr>
  </w:style>
  <w:style w:type="character" w:customStyle="1" w:styleId="Heading6Char">
    <w:name w:val="Heading 6 Char"/>
    <w:basedOn w:val="DefaultParagraphFont"/>
    <w:link w:val="Heading6"/>
    <w:rsid w:val="00E1122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ubjec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3C28-614C-4645-94B0-0D68C37F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8169</Characters>
  <Application>Microsoft Office Word</Application>
  <DocSecurity>0</DocSecurity>
  <Lines>68</Lines>
  <Paragraphs>19</Paragraphs>
  <ScaleCrop>false</ScaleCrop>
  <Company>Microsoft</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4</cp:revision>
  <dcterms:created xsi:type="dcterms:W3CDTF">2017-10-23T15:18:00Z</dcterms:created>
  <dcterms:modified xsi:type="dcterms:W3CDTF">2017-10-23T15:25:00Z</dcterms:modified>
</cp:coreProperties>
</file>